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EB" w:rsidRPr="00715CB0" w:rsidRDefault="003E0554" w:rsidP="00260FEB">
      <w:pPr>
        <w:pageBreakBefore/>
        <w:widowControl w:val="0"/>
        <w:shd w:val="clear" w:color="auto" w:fill="FFFFFF"/>
        <w:ind w:left="5664"/>
        <w:jc w:val="right"/>
        <w:rPr>
          <w:sz w:val="22"/>
          <w:szCs w:val="22"/>
        </w:rPr>
      </w:pPr>
      <w:bookmarkStart w:id="0" w:name="_GoBack"/>
      <w:bookmarkEnd w:id="0"/>
      <w:r>
        <w:rPr>
          <w:bCs/>
          <w:spacing w:val="-1"/>
          <w:sz w:val="22"/>
          <w:szCs w:val="22"/>
        </w:rPr>
        <w:t xml:space="preserve">№ 3 </w:t>
      </w:r>
      <w:proofErr w:type="spellStart"/>
      <w:r>
        <w:rPr>
          <w:bCs/>
          <w:spacing w:val="-1"/>
          <w:sz w:val="22"/>
          <w:szCs w:val="22"/>
        </w:rPr>
        <w:t>қосымша</w:t>
      </w:r>
      <w:proofErr w:type="spellEnd"/>
    </w:p>
    <w:p w:rsidR="00260FEB" w:rsidRPr="00715CB0" w:rsidRDefault="004208C0" w:rsidP="00260FEB">
      <w:pPr>
        <w:pStyle w:val="a3"/>
        <w:ind w:left="502"/>
        <w:jc w:val="both"/>
        <w:rPr>
          <w:b/>
          <w:sz w:val="20"/>
          <w:szCs w:val="20"/>
        </w:rPr>
      </w:pPr>
    </w:p>
    <w:p w:rsidR="00260FEB" w:rsidRPr="00715CB0" w:rsidRDefault="004208C0" w:rsidP="00260FEB">
      <w:pPr>
        <w:jc w:val="center"/>
        <w:rPr>
          <w:b/>
          <w:bCs/>
          <w:sz w:val="22"/>
          <w:szCs w:val="22"/>
        </w:rPr>
      </w:pPr>
    </w:p>
    <w:p w:rsidR="00260FEB" w:rsidRPr="00715CB0" w:rsidRDefault="003E0554" w:rsidP="00260FEB">
      <w:pPr>
        <w:jc w:val="center"/>
        <w:rPr>
          <w:b/>
          <w:bCs/>
          <w:sz w:val="22"/>
          <w:szCs w:val="22"/>
        </w:rPr>
      </w:pPr>
      <w:proofErr w:type="spellStart"/>
      <w:r w:rsidRPr="00715CB0">
        <w:rPr>
          <w:b/>
          <w:bCs/>
          <w:sz w:val="22"/>
          <w:szCs w:val="22"/>
        </w:rPr>
        <w:t>Ережені</w:t>
      </w:r>
      <w:proofErr w:type="spellEnd"/>
      <w:r w:rsidRPr="00715CB0">
        <w:rPr>
          <w:b/>
          <w:bCs/>
          <w:sz w:val="22"/>
          <w:szCs w:val="22"/>
        </w:rPr>
        <w:t xml:space="preserve"> </w:t>
      </w:r>
      <w:proofErr w:type="spellStart"/>
      <w:r w:rsidRPr="00715CB0">
        <w:rPr>
          <w:b/>
          <w:bCs/>
          <w:sz w:val="22"/>
          <w:szCs w:val="22"/>
        </w:rPr>
        <w:t>жүзеге</w:t>
      </w:r>
      <w:proofErr w:type="spellEnd"/>
      <w:r w:rsidRPr="00715CB0">
        <w:rPr>
          <w:b/>
          <w:bCs/>
          <w:sz w:val="22"/>
          <w:szCs w:val="22"/>
        </w:rPr>
        <w:t xml:space="preserve"> </w:t>
      </w:r>
      <w:proofErr w:type="spellStart"/>
      <w:r w:rsidRPr="00715CB0">
        <w:rPr>
          <w:b/>
          <w:bCs/>
          <w:sz w:val="22"/>
          <w:szCs w:val="22"/>
        </w:rPr>
        <w:t>асыру</w:t>
      </w:r>
      <w:proofErr w:type="spellEnd"/>
      <w:r w:rsidRPr="00715CB0">
        <w:rPr>
          <w:b/>
          <w:bCs/>
          <w:sz w:val="22"/>
          <w:szCs w:val="22"/>
        </w:rPr>
        <w:t xml:space="preserve"> </w:t>
      </w:r>
      <w:proofErr w:type="spellStart"/>
      <w:r w:rsidRPr="00715CB0">
        <w:rPr>
          <w:b/>
          <w:bCs/>
          <w:sz w:val="22"/>
          <w:szCs w:val="22"/>
        </w:rPr>
        <w:t>бойынша</w:t>
      </w:r>
      <w:proofErr w:type="spellEnd"/>
      <w:r w:rsidRPr="00715CB0">
        <w:rPr>
          <w:b/>
          <w:bCs/>
          <w:sz w:val="22"/>
          <w:szCs w:val="22"/>
        </w:rPr>
        <w:t xml:space="preserve"> </w:t>
      </w:r>
      <w:proofErr w:type="spellStart"/>
      <w:r w:rsidRPr="00715CB0">
        <w:rPr>
          <w:b/>
          <w:bCs/>
          <w:sz w:val="22"/>
          <w:szCs w:val="22"/>
        </w:rPr>
        <w:t>шаралар</w:t>
      </w:r>
      <w:proofErr w:type="spellEnd"/>
      <w:r w:rsidRPr="00715CB0">
        <w:rPr>
          <w:b/>
          <w:bCs/>
          <w:sz w:val="22"/>
          <w:szCs w:val="22"/>
        </w:rPr>
        <w:t xml:space="preserve"> </w:t>
      </w:r>
      <w:proofErr w:type="spellStart"/>
      <w:r w:rsidRPr="00715CB0">
        <w:rPr>
          <w:b/>
          <w:bCs/>
          <w:sz w:val="22"/>
          <w:szCs w:val="22"/>
        </w:rPr>
        <w:t>жоспары</w:t>
      </w:r>
      <w:proofErr w:type="spellEnd"/>
    </w:p>
    <w:p w:rsidR="00260FEB" w:rsidRPr="00715CB0" w:rsidRDefault="004208C0" w:rsidP="00260FEB">
      <w:pPr>
        <w:jc w:val="center"/>
        <w:rPr>
          <w:bCs/>
          <w:sz w:val="22"/>
          <w:szCs w:val="22"/>
        </w:rPr>
      </w:pPr>
    </w:p>
    <w:tbl>
      <w:tblPr>
        <w:tblW w:w="503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490"/>
        <w:gridCol w:w="1680"/>
        <w:gridCol w:w="2396"/>
        <w:gridCol w:w="1494"/>
        <w:gridCol w:w="1072"/>
      </w:tblGrid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CB0">
              <w:rPr>
                <w:b/>
                <w:color w:val="000000"/>
                <w:sz w:val="22"/>
                <w:szCs w:val="22"/>
              </w:rPr>
              <w:t>№ р/ с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Шаралар</w:t>
            </w:r>
            <w:proofErr w:type="spellEnd"/>
            <w:r w:rsidRPr="00715CB0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  <w:p w:rsidR="00260FEB" w:rsidRPr="00715CB0" w:rsidRDefault="004208C0" w:rsidP="006A71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Аяқтау</w:t>
            </w:r>
            <w:proofErr w:type="spellEnd"/>
            <w:r w:rsidRPr="00715CB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нысаны</w:t>
            </w:r>
            <w:proofErr w:type="spellEnd"/>
          </w:p>
          <w:p w:rsidR="00260FEB" w:rsidRPr="00715CB0" w:rsidRDefault="004208C0" w:rsidP="006A7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Орындалуына</w:t>
            </w:r>
            <w:proofErr w:type="spellEnd"/>
          </w:p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жауаптылар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Орындау</w:t>
            </w:r>
            <w:proofErr w:type="spellEnd"/>
          </w:p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мерзімі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FEB" w:rsidRPr="00715CB0" w:rsidRDefault="003E0554" w:rsidP="006A71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15CB0">
              <w:rPr>
                <w:b/>
                <w:color w:val="000000"/>
                <w:sz w:val="22"/>
                <w:szCs w:val="22"/>
              </w:rPr>
              <w:t>Ескерту</w:t>
            </w:r>
            <w:proofErr w:type="spellEnd"/>
          </w:p>
        </w:tc>
      </w:tr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AB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0006D" w:rsidRDefault="003E0554" w:rsidP="00527E71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Банктің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операциялары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тиісті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Банктің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27E71">
              <w:rPr>
                <w:color w:val="000000"/>
                <w:sz w:val="20"/>
                <w:szCs w:val="20"/>
              </w:rPr>
              <w:t>ІНҚ</w:t>
            </w:r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Ережелерінің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банктік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өнімдерді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27E71">
              <w:rPr>
                <w:color w:val="000000"/>
                <w:sz w:val="20"/>
                <w:szCs w:val="20"/>
              </w:rPr>
              <w:t>беру</w:t>
            </w:r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сыйақылар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27E71">
              <w:rPr>
                <w:color w:val="000000"/>
                <w:sz w:val="20"/>
                <w:szCs w:val="20"/>
              </w:rPr>
              <w:t>мен</w:t>
            </w:r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тарифтердің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мөлшерлемелерін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есептеу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сонымен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бірге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банктік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өнімдерді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27E71">
              <w:rPr>
                <w:color w:val="000000"/>
                <w:sz w:val="20"/>
                <w:szCs w:val="20"/>
              </w:rPr>
              <w:t>беру</w:t>
            </w:r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типтік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шарттарға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сәйкестікке</w:t>
            </w:r>
            <w:proofErr w:type="spellEnd"/>
            <w:r w:rsidRPr="0050006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келтіру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 xml:space="preserve">ІНҚ 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жаңа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редакцияда</w:t>
            </w:r>
            <w:proofErr w:type="spellEnd"/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Үйлестіру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бөлімшелер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құрылымдық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бөлімшелер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Ереже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бекітілген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күннен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бастап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жылдың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4208C0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EF4" w:rsidRPr="00527E71" w:rsidRDefault="003E0554" w:rsidP="00527E7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Клиеттерге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көрсетілетін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банктік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қызметтердің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мөлшерлемелері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тарифтері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Банктің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 интернет-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ресурсында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орналастырылған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ақпаратты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 осы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өзгерісті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қабылдаған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орган мен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ішкі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құжаттың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нөмірін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қолданыстағы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мөлшерлемелері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тарифтеріне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өзгерістер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енгізу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күні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мәліметтерді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көрсетумен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өзекті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режимде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ұстау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Банктің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тарифтері</w:t>
            </w:r>
            <w:proofErr w:type="spellEnd"/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құрылымдық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бөлімшелер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AB4A4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Өзектендіру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шаралары</w:t>
            </w:r>
            <w:proofErr w:type="spellEnd"/>
            <w:r w:rsidRPr="00527E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 w:themeColor="text1"/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4208C0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Клиенттерге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банктік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операциялар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ақпараттар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кеңес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берулер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Ереженің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талаптарын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AB4A4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Фронт-офис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Тұрақты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FEB" w:rsidRPr="00527E71" w:rsidRDefault="004208C0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E0554" w:rsidP="00AB4A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Банкпен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ерекше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қатынастағы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байланыстары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тұлғалармен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мәмілеге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кіру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кезінде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талаптарды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сонымен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бірге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банктік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операцияларды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жүргізу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ішінде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клиенттердің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жинау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құпиялылықты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E0554" w:rsidP="00AB4A4A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Банктің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қызметкерлері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Тұрақты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F88" w:rsidRPr="00527E71" w:rsidRDefault="004208C0" w:rsidP="006A71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358E4" w:rsidTr="00527E71">
        <w:trPr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r w:rsidRPr="00527E71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AB4A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Қазақстан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заңнамаларының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талаптарының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өзектілік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lastRenderedPageBreak/>
              <w:t>мәніне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Ережелердің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lastRenderedPageBreak/>
              <w:t>Жаңа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редакциядағы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ІНҚ/ІНҚ-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өзгерістер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lastRenderedPageBreak/>
              <w:t>және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толықтырулар</w:t>
            </w:r>
            <w:proofErr w:type="spellEnd"/>
          </w:p>
        </w:tc>
        <w:tc>
          <w:tcPr>
            <w:tcW w:w="1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lastRenderedPageBreak/>
              <w:t>Мүдделі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құрылымдық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бөлімшелер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3E0554" w:rsidP="006A71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27E71">
              <w:rPr>
                <w:color w:val="000000"/>
                <w:sz w:val="20"/>
                <w:szCs w:val="20"/>
              </w:rPr>
              <w:t>Тоқсан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сайын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/жарты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жылда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бір</w:t>
            </w:r>
            <w:proofErr w:type="spellEnd"/>
            <w:r w:rsidRPr="00527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7E71">
              <w:rPr>
                <w:color w:val="000000"/>
                <w:sz w:val="20"/>
                <w:szCs w:val="20"/>
              </w:rPr>
              <w:t>рет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A4A" w:rsidRPr="00527E71" w:rsidRDefault="004208C0" w:rsidP="006A7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178D2" w:rsidRPr="00527E71" w:rsidRDefault="004208C0" w:rsidP="00260FEB">
      <w:pPr>
        <w:rPr>
          <w:sz w:val="20"/>
          <w:szCs w:val="20"/>
        </w:rPr>
      </w:pPr>
    </w:p>
    <w:sectPr w:rsidR="009178D2" w:rsidRPr="00527E71" w:rsidSect="00326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36" w:rsidRDefault="001A2536">
      <w:r>
        <w:separator/>
      </w:r>
    </w:p>
  </w:endnote>
  <w:endnote w:type="continuationSeparator" w:id="0">
    <w:p w:rsidR="001A2536" w:rsidRDefault="001A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10" w:rsidRDefault="00DA55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10" w:rsidRDefault="00DA551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10" w:rsidRDefault="00DA55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36" w:rsidRDefault="001A2536">
      <w:r>
        <w:separator/>
      </w:r>
    </w:p>
  </w:footnote>
  <w:footnote w:type="continuationSeparator" w:id="0">
    <w:p w:rsidR="001A2536" w:rsidRDefault="001A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10" w:rsidRDefault="00DA55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4D" w:rsidRDefault="004208C0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163"/>
      <w:gridCol w:w="2148"/>
      <w:gridCol w:w="4316"/>
    </w:tblGrid>
    <w:tr w:rsidR="00B358E4" w:rsidTr="008242F8">
      <w:tc>
        <w:tcPr>
          <w:tcW w:w="3164" w:type="dxa"/>
          <w:vMerge w:val="restart"/>
        </w:tcPr>
        <w:p w:rsidR="000A744D" w:rsidRPr="004658B4" w:rsidRDefault="003E0554" w:rsidP="003A539B">
          <w:pPr>
            <w:pStyle w:val="a4"/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>
                <wp:extent cx="1819275" cy="571500"/>
                <wp:effectExtent l="19050" t="0" r="9525" b="0"/>
                <wp:docPr id="1" name="Рисунок 1" descr="LogoEurasianBankRus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EurasianBankRus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0A744D" w:rsidRPr="007F19F6" w:rsidRDefault="003E0554" w:rsidP="003A539B">
          <w:pPr>
            <w:pStyle w:val="a4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ЕР</w:t>
          </w:r>
        </w:p>
      </w:tc>
      <w:tc>
        <w:tcPr>
          <w:tcW w:w="4476" w:type="dxa"/>
        </w:tcPr>
        <w:p w:rsidR="000A744D" w:rsidRPr="007F19F6" w:rsidRDefault="003E0554" w:rsidP="003A539B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>1-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PAGE </w:instrText>
          </w:r>
          <w:r w:rsidRPr="007F19F6">
            <w:rPr>
              <w:b/>
              <w:sz w:val="20"/>
            </w:rPr>
            <w:fldChar w:fldCharType="separate"/>
          </w:r>
          <w:r w:rsidR="004208C0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  <w:r w:rsidRPr="007F19F6">
            <w:rPr>
              <w:b/>
              <w:sz w:val="20"/>
            </w:rPr>
            <w:t xml:space="preserve"> бет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NUMPAGES </w:instrText>
          </w:r>
          <w:r w:rsidRPr="007F19F6">
            <w:rPr>
              <w:b/>
              <w:sz w:val="20"/>
            </w:rPr>
            <w:fldChar w:fldCharType="separate"/>
          </w:r>
          <w:r w:rsidR="004208C0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</w:p>
      </w:tc>
    </w:tr>
    <w:tr w:rsidR="00B358E4" w:rsidTr="00A96438">
      <w:tc>
        <w:tcPr>
          <w:tcW w:w="3164" w:type="dxa"/>
          <w:vMerge/>
        </w:tcPr>
        <w:p w:rsidR="000A744D" w:rsidRPr="004658B4" w:rsidRDefault="004208C0" w:rsidP="003A539B">
          <w:pPr>
            <w:pStyle w:val="a4"/>
          </w:pPr>
        </w:p>
      </w:tc>
      <w:tc>
        <w:tcPr>
          <w:tcW w:w="6689" w:type="dxa"/>
          <w:gridSpan w:val="2"/>
        </w:tcPr>
        <w:p w:rsidR="000A744D" w:rsidRPr="0032678C" w:rsidRDefault="003E0554" w:rsidP="003A539B">
          <w:pPr>
            <w:pStyle w:val="a4"/>
            <w:jc w:val="both"/>
            <w:rPr>
              <w:sz w:val="22"/>
              <w:szCs w:val="22"/>
            </w:rPr>
          </w:pPr>
          <w:proofErr w:type="spellStart"/>
          <w:r>
            <w:rPr>
              <w:bCs/>
              <w:sz w:val="22"/>
              <w:szCs w:val="22"/>
            </w:rPr>
            <w:t>Ішкі</w:t>
          </w:r>
          <w:proofErr w:type="spellEnd"/>
          <w:r>
            <w:rPr>
              <w:bCs/>
              <w:sz w:val="22"/>
              <w:szCs w:val="22"/>
            </w:rPr>
            <w:t xml:space="preserve">  </w:t>
          </w:r>
          <w:proofErr w:type="spellStart"/>
          <w:r>
            <w:rPr>
              <w:bCs/>
              <w:sz w:val="22"/>
              <w:szCs w:val="22"/>
            </w:rPr>
            <w:t>нормативтік</w:t>
          </w:r>
          <w:proofErr w:type="spellEnd"/>
          <w:r>
            <w:rPr>
              <w:bCs/>
              <w:sz w:val="22"/>
              <w:szCs w:val="22"/>
            </w:rPr>
            <w:t xml:space="preserve"> </w:t>
          </w:r>
          <w:proofErr w:type="spellStart"/>
          <w:r>
            <w:rPr>
              <w:bCs/>
              <w:sz w:val="22"/>
              <w:szCs w:val="22"/>
            </w:rPr>
            <w:t>реттеуді</w:t>
          </w:r>
          <w:proofErr w:type="spellEnd"/>
          <w:r>
            <w:rPr>
              <w:bCs/>
              <w:sz w:val="22"/>
              <w:szCs w:val="22"/>
            </w:rPr>
            <w:t xml:space="preserve"> </w:t>
          </w:r>
          <w:proofErr w:type="spellStart"/>
          <w:r>
            <w:rPr>
              <w:bCs/>
              <w:sz w:val="22"/>
              <w:szCs w:val="22"/>
            </w:rPr>
            <w:t>ұйымдастыру</w:t>
          </w:r>
          <w:proofErr w:type="spellEnd"/>
          <w:r>
            <w:rPr>
              <w:bCs/>
              <w:sz w:val="22"/>
              <w:szCs w:val="22"/>
            </w:rPr>
            <w:t xml:space="preserve"> </w:t>
          </w:r>
          <w:proofErr w:type="spellStart"/>
          <w:r>
            <w:rPr>
              <w:bCs/>
              <w:sz w:val="22"/>
              <w:szCs w:val="22"/>
            </w:rPr>
            <w:t>Ережесі</w:t>
          </w:r>
          <w:proofErr w:type="spellEnd"/>
        </w:p>
      </w:tc>
    </w:tr>
  </w:tbl>
  <w:p w:rsidR="000A744D" w:rsidRDefault="004208C0" w:rsidP="003267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EB" w:rsidRDefault="004208C0">
    <w:pPr>
      <w:pStyle w:val="a4"/>
    </w:pPr>
  </w:p>
  <w:tbl>
    <w:tblPr>
      <w:tblStyle w:val="a6"/>
      <w:tblW w:w="0" w:type="auto"/>
      <w:tblLook w:val="01E0" w:firstRow="1" w:lastRow="1" w:firstColumn="1" w:lastColumn="1" w:noHBand="0" w:noVBand="0"/>
    </w:tblPr>
    <w:tblGrid>
      <w:gridCol w:w="3276"/>
      <w:gridCol w:w="2115"/>
      <w:gridCol w:w="4236"/>
    </w:tblGrid>
    <w:tr w:rsidR="00B358E4" w:rsidTr="006A7104">
      <w:tc>
        <w:tcPr>
          <w:tcW w:w="3164" w:type="dxa"/>
          <w:vMerge w:val="restart"/>
        </w:tcPr>
        <w:p w:rsidR="00260FEB" w:rsidRPr="004658B4" w:rsidRDefault="00DA5510" w:rsidP="006A7104">
          <w:pPr>
            <w:pStyle w:val="a4"/>
          </w:pPr>
          <w:r w:rsidRPr="005C29FB">
            <w:rPr>
              <w:noProof/>
              <w:sz w:val="32"/>
              <w:szCs w:val="32"/>
            </w:rPr>
            <w:drawing>
              <wp:inline distT="0" distB="0" distL="0" distR="0" wp14:anchorId="4EDD87B7" wp14:editId="23AC4D33">
                <wp:extent cx="1940118" cy="421640"/>
                <wp:effectExtent l="0" t="0" r="3175" b="0"/>
                <wp:docPr id="3" name="Рисунок 3" descr="LogoEurasianBankKaz_Gori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EurasianBankKaz_Gori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588" cy="422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</w:tcPr>
        <w:p w:rsidR="00260FEB" w:rsidRPr="007F19F6" w:rsidRDefault="003E0554" w:rsidP="006A7104">
          <w:pPr>
            <w:pStyle w:val="a4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ЕР</w:t>
          </w:r>
        </w:p>
      </w:tc>
      <w:tc>
        <w:tcPr>
          <w:tcW w:w="4476" w:type="dxa"/>
        </w:tcPr>
        <w:p w:rsidR="00260FEB" w:rsidRPr="007F19F6" w:rsidRDefault="003E0554" w:rsidP="006A7104">
          <w:pPr>
            <w:pStyle w:val="a4"/>
            <w:jc w:val="center"/>
            <w:rPr>
              <w:b/>
              <w:sz w:val="20"/>
            </w:rPr>
          </w:pPr>
          <w:r w:rsidRPr="007F19F6">
            <w:rPr>
              <w:b/>
              <w:sz w:val="20"/>
            </w:rPr>
            <w:t>1-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PAGE </w:instrText>
          </w:r>
          <w:r w:rsidRPr="007F19F6">
            <w:rPr>
              <w:b/>
              <w:sz w:val="20"/>
            </w:rPr>
            <w:fldChar w:fldCharType="separate"/>
          </w:r>
          <w:r w:rsidR="004208C0">
            <w:rPr>
              <w:b/>
              <w:noProof/>
              <w:sz w:val="20"/>
            </w:rPr>
            <w:t>1</w:t>
          </w:r>
          <w:r w:rsidRPr="007F19F6">
            <w:rPr>
              <w:b/>
              <w:sz w:val="20"/>
            </w:rPr>
            <w:fldChar w:fldCharType="end"/>
          </w:r>
          <w:r w:rsidRPr="007F19F6">
            <w:rPr>
              <w:b/>
              <w:sz w:val="20"/>
            </w:rPr>
            <w:t xml:space="preserve"> бет </w:t>
          </w:r>
          <w:r w:rsidRPr="007F19F6">
            <w:rPr>
              <w:b/>
              <w:sz w:val="20"/>
            </w:rPr>
            <w:fldChar w:fldCharType="begin"/>
          </w:r>
          <w:r w:rsidRPr="007F19F6">
            <w:rPr>
              <w:b/>
              <w:sz w:val="20"/>
            </w:rPr>
            <w:instrText xml:space="preserve"> NUMPAGES </w:instrText>
          </w:r>
          <w:r w:rsidRPr="007F19F6">
            <w:rPr>
              <w:b/>
              <w:sz w:val="20"/>
            </w:rPr>
            <w:fldChar w:fldCharType="separate"/>
          </w:r>
          <w:r w:rsidR="004208C0">
            <w:rPr>
              <w:b/>
              <w:noProof/>
              <w:sz w:val="20"/>
            </w:rPr>
            <w:t>2</w:t>
          </w:r>
          <w:r w:rsidRPr="007F19F6">
            <w:rPr>
              <w:b/>
              <w:sz w:val="20"/>
            </w:rPr>
            <w:fldChar w:fldCharType="end"/>
          </w:r>
        </w:p>
      </w:tc>
    </w:tr>
    <w:tr w:rsidR="00B358E4" w:rsidTr="006A7104">
      <w:tc>
        <w:tcPr>
          <w:tcW w:w="3164" w:type="dxa"/>
          <w:vMerge/>
        </w:tcPr>
        <w:p w:rsidR="00260FEB" w:rsidRPr="004658B4" w:rsidRDefault="004208C0" w:rsidP="006A7104">
          <w:pPr>
            <w:pStyle w:val="a4"/>
          </w:pPr>
        </w:p>
      </w:tc>
      <w:tc>
        <w:tcPr>
          <w:tcW w:w="6689" w:type="dxa"/>
          <w:gridSpan w:val="2"/>
        </w:tcPr>
        <w:p w:rsidR="00260FEB" w:rsidRPr="0032678C" w:rsidRDefault="003E0554" w:rsidP="006A7104">
          <w:pPr>
            <w:pStyle w:val="a4"/>
            <w:jc w:val="both"/>
            <w:rPr>
              <w:sz w:val="22"/>
              <w:szCs w:val="22"/>
            </w:rPr>
          </w:pPr>
          <w:proofErr w:type="spellStart"/>
          <w:r>
            <w:rPr>
              <w:b/>
              <w:sz w:val="20"/>
            </w:rPr>
            <w:t>Операциялар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жүргізудің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жалпы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талаптары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туралы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Ереже</w:t>
          </w:r>
          <w:proofErr w:type="spellEnd"/>
        </w:p>
      </w:tc>
    </w:tr>
  </w:tbl>
  <w:p w:rsidR="00260FEB" w:rsidRDefault="004208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918"/>
    <w:multiLevelType w:val="hybridMultilevel"/>
    <w:tmpl w:val="C07E3EF8"/>
    <w:lvl w:ilvl="0" w:tplc="B65A1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A4426" w:tentative="1">
      <w:start w:val="1"/>
      <w:numFmt w:val="lowerLetter"/>
      <w:lvlText w:val="%2."/>
      <w:lvlJc w:val="left"/>
      <w:pPr>
        <w:ind w:left="1440" w:hanging="360"/>
      </w:pPr>
    </w:lvl>
    <w:lvl w:ilvl="2" w:tplc="BFB625D8" w:tentative="1">
      <w:start w:val="1"/>
      <w:numFmt w:val="lowerRoman"/>
      <w:lvlText w:val="%3."/>
      <w:lvlJc w:val="right"/>
      <w:pPr>
        <w:ind w:left="2160" w:hanging="180"/>
      </w:pPr>
    </w:lvl>
    <w:lvl w:ilvl="3" w:tplc="552A9808" w:tentative="1">
      <w:start w:val="1"/>
      <w:numFmt w:val="decimal"/>
      <w:lvlText w:val="%4."/>
      <w:lvlJc w:val="left"/>
      <w:pPr>
        <w:ind w:left="2880" w:hanging="360"/>
      </w:pPr>
    </w:lvl>
    <w:lvl w:ilvl="4" w:tplc="EB0CACFA" w:tentative="1">
      <w:start w:val="1"/>
      <w:numFmt w:val="lowerLetter"/>
      <w:lvlText w:val="%5."/>
      <w:lvlJc w:val="left"/>
      <w:pPr>
        <w:ind w:left="3600" w:hanging="360"/>
      </w:pPr>
    </w:lvl>
    <w:lvl w:ilvl="5" w:tplc="94D07948" w:tentative="1">
      <w:start w:val="1"/>
      <w:numFmt w:val="lowerRoman"/>
      <w:lvlText w:val="%6."/>
      <w:lvlJc w:val="right"/>
      <w:pPr>
        <w:ind w:left="4320" w:hanging="180"/>
      </w:pPr>
    </w:lvl>
    <w:lvl w:ilvl="6" w:tplc="541C4E2E" w:tentative="1">
      <w:start w:val="1"/>
      <w:numFmt w:val="decimal"/>
      <w:lvlText w:val="%7."/>
      <w:lvlJc w:val="left"/>
      <w:pPr>
        <w:ind w:left="5040" w:hanging="360"/>
      </w:pPr>
    </w:lvl>
    <w:lvl w:ilvl="7" w:tplc="8BC2FDEA" w:tentative="1">
      <w:start w:val="1"/>
      <w:numFmt w:val="lowerLetter"/>
      <w:lvlText w:val="%8."/>
      <w:lvlJc w:val="left"/>
      <w:pPr>
        <w:ind w:left="5760" w:hanging="360"/>
      </w:pPr>
    </w:lvl>
    <w:lvl w:ilvl="8" w:tplc="9E0259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4"/>
    <w:rsid w:val="001A2536"/>
    <w:rsid w:val="003E0554"/>
    <w:rsid w:val="004208C0"/>
    <w:rsid w:val="0050006D"/>
    <w:rsid w:val="00B358E4"/>
    <w:rsid w:val="00D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539BF-ABA8-413E-AECA-4C1699EC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FEB"/>
    <w:pPr>
      <w:ind w:left="720"/>
    </w:pPr>
  </w:style>
  <w:style w:type="paragraph" w:styleId="a4">
    <w:name w:val="header"/>
    <w:basedOn w:val="a"/>
    <w:link w:val="a5"/>
    <w:rsid w:val="00260F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6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60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0F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F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Orazgeldiyeva Oksana Aleksandrovna</dc:creator>
  <cp:lastModifiedBy>Мусаева Айгуль Сайламбековна</cp:lastModifiedBy>
  <cp:revision>2</cp:revision>
  <cp:lastPrinted>2014-07-22T03:27:00Z</cp:lastPrinted>
  <dcterms:created xsi:type="dcterms:W3CDTF">2020-07-13T11:17:00Z</dcterms:created>
  <dcterms:modified xsi:type="dcterms:W3CDTF">2020-07-13T11:17:00Z</dcterms:modified>
</cp:coreProperties>
</file>