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FEB" w:rsidRPr="008849ED" w:rsidRDefault="00B37CBB" w:rsidP="00260FEB">
      <w:pPr>
        <w:pageBreakBefore/>
        <w:widowControl w:val="0"/>
        <w:shd w:val="clear" w:color="auto" w:fill="FFFFFF"/>
        <w:ind w:left="5664"/>
        <w:jc w:val="right"/>
        <w:rPr>
          <w:sz w:val="22"/>
          <w:szCs w:val="22"/>
          <w:lang w:val="en-US"/>
        </w:rPr>
      </w:pPr>
      <w:bookmarkStart w:id="0" w:name="_GoBack"/>
      <w:bookmarkEnd w:id="0"/>
      <w:r>
        <w:rPr>
          <w:bCs/>
          <w:spacing w:val="-1"/>
          <w:sz w:val="22"/>
          <w:szCs w:val="22"/>
          <w:lang w:val="en-US"/>
        </w:rPr>
        <w:t>Appendix No.</w:t>
      </w:r>
      <w:r w:rsidRPr="008849ED">
        <w:rPr>
          <w:bCs/>
          <w:spacing w:val="-1"/>
          <w:sz w:val="22"/>
          <w:szCs w:val="22"/>
          <w:lang w:val="en-US"/>
        </w:rPr>
        <w:t xml:space="preserve"> </w:t>
      </w:r>
      <w:r w:rsidR="004226CB" w:rsidRPr="008849ED">
        <w:rPr>
          <w:bCs/>
          <w:spacing w:val="-1"/>
          <w:sz w:val="22"/>
          <w:szCs w:val="22"/>
          <w:lang w:val="en-US"/>
        </w:rPr>
        <w:t>3</w:t>
      </w:r>
    </w:p>
    <w:p w:rsidR="00260FEB" w:rsidRPr="008849ED" w:rsidRDefault="00260FEB" w:rsidP="00260FEB">
      <w:pPr>
        <w:pStyle w:val="a3"/>
        <w:ind w:left="502"/>
        <w:jc w:val="both"/>
        <w:rPr>
          <w:b/>
          <w:sz w:val="20"/>
          <w:szCs w:val="20"/>
          <w:lang w:val="en-US"/>
        </w:rPr>
      </w:pPr>
    </w:p>
    <w:p w:rsidR="00260FEB" w:rsidRPr="008849ED" w:rsidRDefault="00260FEB" w:rsidP="00260FEB">
      <w:pPr>
        <w:jc w:val="center"/>
        <w:rPr>
          <w:b/>
          <w:bCs/>
          <w:sz w:val="22"/>
          <w:szCs w:val="22"/>
          <w:lang w:val="en-US"/>
        </w:rPr>
      </w:pPr>
    </w:p>
    <w:p w:rsidR="00260FEB" w:rsidRPr="008849ED" w:rsidRDefault="00B37CBB" w:rsidP="00260FEB">
      <w:pPr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The Action Plan on Implementation of the Rules</w:t>
      </w:r>
    </w:p>
    <w:p w:rsidR="00260FEB" w:rsidRPr="008849ED" w:rsidRDefault="00260FEB" w:rsidP="00260FEB">
      <w:pPr>
        <w:jc w:val="center"/>
        <w:rPr>
          <w:bCs/>
          <w:sz w:val="22"/>
          <w:szCs w:val="22"/>
          <w:lang w:val="en-US"/>
        </w:rPr>
      </w:pPr>
    </w:p>
    <w:tbl>
      <w:tblPr>
        <w:tblW w:w="503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490"/>
        <w:gridCol w:w="1682"/>
        <w:gridCol w:w="2396"/>
        <w:gridCol w:w="1742"/>
        <w:gridCol w:w="822"/>
      </w:tblGrid>
      <w:tr w:rsidR="00260FEB" w:rsidRPr="00715CB0" w:rsidTr="00B37CBB">
        <w:trPr>
          <w:jc w:val="center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FEB" w:rsidRPr="00B37CBB" w:rsidRDefault="00B37CBB" w:rsidP="006A7104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s.i.No.</w:t>
            </w:r>
          </w:p>
        </w:tc>
        <w:tc>
          <w:tcPr>
            <w:tcW w:w="1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FEB" w:rsidRPr="00B37CBB" w:rsidRDefault="00B37CBB" w:rsidP="006A7104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Name of Action</w:t>
            </w:r>
          </w:p>
          <w:p w:rsidR="00260FEB" w:rsidRPr="00715CB0" w:rsidRDefault="00260FEB" w:rsidP="006A71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FEB" w:rsidRPr="00B37CBB" w:rsidRDefault="00B37CBB" w:rsidP="006A7104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Form of completion</w:t>
            </w:r>
          </w:p>
          <w:p w:rsidR="00260FEB" w:rsidRPr="00715CB0" w:rsidRDefault="00260FEB" w:rsidP="006A710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FEB" w:rsidRPr="00B37CBB" w:rsidRDefault="00B37CBB" w:rsidP="006A7104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Responsible for implementation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FEB" w:rsidRPr="00B37CBB" w:rsidRDefault="00B37CBB" w:rsidP="006A7104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The term of implementation</w:t>
            </w:r>
          </w:p>
        </w:tc>
        <w:tc>
          <w:tcPr>
            <w:tcW w:w="4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FEB" w:rsidRPr="00B37CBB" w:rsidRDefault="00B37CBB" w:rsidP="006A7104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Note</w:t>
            </w:r>
          </w:p>
        </w:tc>
      </w:tr>
      <w:tr w:rsidR="00AB4A4A" w:rsidRPr="008849ED" w:rsidTr="00B37CBB">
        <w:trPr>
          <w:jc w:val="center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527E71" w:rsidRDefault="00AB4A4A" w:rsidP="00AB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27E71">
              <w:rPr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1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8849ED" w:rsidRDefault="00A91C33" w:rsidP="00A91C33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Putting into compliance with the requirements of the Rules of the appropriate INDs of the Bank on the Bank transactions and provision of bank products</w:t>
            </w:r>
            <w:r w:rsidR="00831EF4" w:rsidRPr="008849ED">
              <w:rPr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calculation of rates of return and tariffs</w:t>
            </w:r>
            <w:r w:rsidR="00831EF4" w:rsidRPr="008849ED">
              <w:rPr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as well as standard agreements for provision of bank products</w:t>
            </w:r>
            <w:r w:rsidR="00831EF4" w:rsidRPr="008849E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B37CBB" w:rsidRDefault="00B37CBB" w:rsidP="006A710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The IND in new edition</w:t>
            </w:r>
          </w:p>
        </w:tc>
        <w:tc>
          <w:tcPr>
            <w:tcW w:w="1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8849ED" w:rsidRDefault="00A91C33" w:rsidP="006A710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Coordination and methodology subdivision</w:t>
            </w:r>
            <w:r w:rsidR="00AB4A4A" w:rsidRPr="008849ED"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independent structural subdivisions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8849ED" w:rsidRDefault="00A91C33" w:rsidP="00A91C3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Within a year from the date of approval of the Rules</w:t>
            </w:r>
          </w:p>
        </w:tc>
        <w:tc>
          <w:tcPr>
            <w:tcW w:w="4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8849ED" w:rsidRDefault="00AB4A4A" w:rsidP="006A7104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260FEB" w:rsidRPr="00527E71" w:rsidTr="00B37CBB">
        <w:trPr>
          <w:jc w:val="center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527E71" w:rsidRDefault="00AB4A4A" w:rsidP="006A7104">
            <w:pPr>
              <w:jc w:val="center"/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EF4" w:rsidRPr="008849ED" w:rsidRDefault="006D4CA3" w:rsidP="006D4CA3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Keeping in the current mode</w:t>
            </w:r>
            <w:r w:rsidR="00831EF4" w:rsidRPr="008849E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on the Bank Internet source of the placed information on the rates and tariffs for banking and other services provided to clients</w:t>
            </w:r>
            <w:r w:rsidR="00831EF4" w:rsidRPr="008849ED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specifying the data on the date on introduction of changes into the effective rates and tariffs</w:t>
            </w:r>
            <w:r w:rsidR="00831EF4" w:rsidRPr="008849ED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numbers of the internal document and the body that accepted these changes</w:t>
            </w:r>
            <w:r w:rsidR="00831EF4" w:rsidRPr="008849ED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8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B37CBB" w:rsidRDefault="00B37CBB" w:rsidP="006A7104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The tariffs of the Bank</w:t>
            </w:r>
          </w:p>
        </w:tc>
        <w:tc>
          <w:tcPr>
            <w:tcW w:w="1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527E71" w:rsidRDefault="00B37CBB" w:rsidP="00B37CB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Independent structural subdivisions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6D4CA3" w:rsidRDefault="006D4CA3" w:rsidP="00AB4A4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As are actualized</w:t>
            </w:r>
          </w:p>
        </w:tc>
        <w:tc>
          <w:tcPr>
            <w:tcW w:w="4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527E71" w:rsidRDefault="00260FEB" w:rsidP="006A710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260FEB" w:rsidRPr="00527E71" w:rsidTr="00B37CBB">
        <w:trPr>
          <w:jc w:val="center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527E71" w:rsidRDefault="00260FEB" w:rsidP="006A7104">
            <w:pPr>
              <w:jc w:val="center"/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  <w:lang w:val="en-US"/>
              </w:rPr>
              <w:t>3</w:t>
            </w:r>
            <w:r w:rsidRPr="00527E7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8849ED" w:rsidRDefault="006D4CA3" w:rsidP="006D4CA3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Compliance with the requirement of the Rules on provision of information and consulting a client on banking transactions</w:t>
            </w:r>
          </w:p>
        </w:tc>
        <w:tc>
          <w:tcPr>
            <w:tcW w:w="8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527E71" w:rsidRDefault="00AB4A4A" w:rsidP="00AB4A4A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527E71" w:rsidRDefault="00B37CBB" w:rsidP="00B37C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Front Office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B37CBB" w:rsidRDefault="00B37CBB" w:rsidP="006A710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Permanently</w:t>
            </w:r>
          </w:p>
        </w:tc>
        <w:tc>
          <w:tcPr>
            <w:tcW w:w="4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527E71" w:rsidRDefault="00260FEB" w:rsidP="006A710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D5F88" w:rsidRPr="00527E71" w:rsidTr="00B37CBB">
        <w:trPr>
          <w:jc w:val="center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F88" w:rsidRPr="00527E71" w:rsidRDefault="003D5F88" w:rsidP="006A7104">
            <w:pPr>
              <w:jc w:val="center"/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F88" w:rsidRPr="008849ED" w:rsidRDefault="006D4CA3" w:rsidP="006D4CA3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Compliance with the requirements when entering into a deal with persons related to the Bank</w:t>
            </w:r>
            <w:r w:rsidR="00AB4A4A" w:rsidRPr="008849ED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as well as confidentiality when conducting banking transactions</w:t>
            </w:r>
            <w:r w:rsidR="00AB4A4A" w:rsidRPr="008849ED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including on collection and processing of personal data of clients</w:t>
            </w:r>
          </w:p>
        </w:tc>
        <w:tc>
          <w:tcPr>
            <w:tcW w:w="8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F88" w:rsidRPr="00527E71" w:rsidRDefault="00AB4A4A" w:rsidP="00AB4A4A">
            <w:pPr>
              <w:jc w:val="center"/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F88" w:rsidRPr="006D4CA3" w:rsidRDefault="006D4CA3" w:rsidP="006A710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All the Bank employees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F88" w:rsidRPr="006D4CA3" w:rsidRDefault="006D4CA3" w:rsidP="006A710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Permanently</w:t>
            </w:r>
          </w:p>
        </w:tc>
        <w:tc>
          <w:tcPr>
            <w:tcW w:w="4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F88" w:rsidRPr="00527E71" w:rsidRDefault="003D5F88" w:rsidP="006A710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4A4A" w:rsidRPr="008849ED" w:rsidTr="00B37CBB">
        <w:trPr>
          <w:jc w:val="center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527E71" w:rsidRDefault="00AB4A4A" w:rsidP="006A7104">
            <w:pPr>
              <w:jc w:val="center"/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8849ED" w:rsidRDefault="006D4CA3" w:rsidP="006D4CA3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Monitoring of the Rules as to timeliness with the requirements of the legislation of the Republic of Kazakhstan </w:t>
            </w:r>
          </w:p>
        </w:tc>
        <w:tc>
          <w:tcPr>
            <w:tcW w:w="8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8849ED" w:rsidRDefault="006D4CA3" w:rsidP="006D4CA3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The IND in new edition</w:t>
            </w:r>
            <w:r w:rsidR="002A5CD7" w:rsidRPr="008849ED"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  <w:lang w:val="en-US"/>
              </w:rPr>
              <w:t>changes and/or additions to the IND</w:t>
            </w:r>
          </w:p>
        </w:tc>
        <w:tc>
          <w:tcPr>
            <w:tcW w:w="1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6D4CA3" w:rsidRDefault="006D4CA3" w:rsidP="006A710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Involved structural subdivisions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6D4CA3" w:rsidRDefault="006D4CA3" w:rsidP="006D4CA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Quarterly</w:t>
            </w:r>
            <w:r w:rsidR="002A5CD7" w:rsidRPr="008849ED"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  <w:lang w:val="en-US"/>
              </w:rPr>
              <w:t>once in half-year</w:t>
            </w:r>
          </w:p>
        </w:tc>
        <w:tc>
          <w:tcPr>
            <w:tcW w:w="4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8849ED" w:rsidRDefault="00AB4A4A" w:rsidP="006A710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9178D2" w:rsidRPr="008849ED" w:rsidRDefault="009178D2" w:rsidP="00260FEB">
      <w:pPr>
        <w:rPr>
          <w:sz w:val="20"/>
          <w:szCs w:val="20"/>
          <w:lang w:val="en-US"/>
        </w:rPr>
      </w:pPr>
    </w:p>
    <w:sectPr w:rsidR="009178D2" w:rsidRPr="008849ED" w:rsidSect="0032678C">
      <w:headerReference w:type="default" r:id="rId7"/>
      <w:headerReference w:type="firs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D26" w:rsidRDefault="000C1D26" w:rsidP="00260FEB">
      <w:r>
        <w:separator/>
      </w:r>
    </w:p>
  </w:endnote>
  <w:endnote w:type="continuationSeparator" w:id="0">
    <w:p w:rsidR="000C1D26" w:rsidRDefault="000C1D26" w:rsidP="0026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D26" w:rsidRDefault="000C1D26" w:rsidP="00260FEB">
      <w:r>
        <w:separator/>
      </w:r>
    </w:p>
  </w:footnote>
  <w:footnote w:type="continuationSeparator" w:id="0">
    <w:p w:rsidR="000C1D26" w:rsidRDefault="000C1D26" w:rsidP="00260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44D" w:rsidRDefault="008849ED">
    <w:pPr>
      <w:pStyle w:val="a4"/>
    </w:pPr>
  </w:p>
  <w:tbl>
    <w:tblPr>
      <w:tblStyle w:val="a6"/>
      <w:tblW w:w="0" w:type="auto"/>
      <w:tblLook w:val="01E0" w:firstRow="1" w:lastRow="1" w:firstColumn="1" w:lastColumn="1" w:noHBand="0" w:noVBand="0"/>
    </w:tblPr>
    <w:tblGrid>
      <w:gridCol w:w="3164"/>
      <w:gridCol w:w="2213"/>
      <w:gridCol w:w="4476"/>
    </w:tblGrid>
    <w:tr w:rsidR="000A744D" w:rsidRPr="004658B4" w:rsidTr="008242F8">
      <w:tc>
        <w:tcPr>
          <w:tcW w:w="3164" w:type="dxa"/>
          <w:vMerge w:val="restart"/>
        </w:tcPr>
        <w:p w:rsidR="000A744D" w:rsidRPr="004658B4" w:rsidRDefault="00E95CB7" w:rsidP="003A539B">
          <w:pPr>
            <w:pStyle w:val="a4"/>
          </w:pPr>
          <w:r>
            <w:rPr>
              <w:rFonts w:ascii="Arial" w:hAnsi="Arial" w:cs="Arial"/>
              <w:noProof/>
              <w:sz w:val="28"/>
              <w:szCs w:val="28"/>
            </w:rPr>
            <w:drawing>
              <wp:inline distT="0" distB="0" distL="0" distR="0" wp14:anchorId="3FA6E376" wp14:editId="0070F392">
                <wp:extent cx="1819275" cy="571500"/>
                <wp:effectExtent l="19050" t="0" r="9525" b="0"/>
                <wp:docPr id="1" name="Рисунок 1" descr="LogoEurasianBankRus_ve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EurasianBankRus_ve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3" w:type="dxa"/>
        </w:tcPr>
        <w:p w:rsidR="000A744D" w:rsidRPr="007F19F6" w:rsidRDefault="00E95CB7" w:rsidP="003A539B">
          <w:pPr>
            <w:pStyle w:val="a4"/>
            <w:jc w:val="center"/>
            <w:rPr>
              <w:b/>
              <w:sz w:val="20"/>
            </w:rPr>
          </w:pPr>
          <w:r w:rsidRPr="007F19F6">
            <w:rPr>
              <w:b/>
              <w:sz w:val="20"/>
            </w:rPr>
            <w:t>П</w:t>
          </w:r>
          <w:r>
            <w:rPr>
              <w:b/>
              <w:sz w:val="20"/>
            </w:rPr>
            <w:t>Р</w:t>
          </w:r>
        </w:p>
      </w:tc>
      <w:tc>
        <w:tcPr>
          <w:tcW w:w="4476" w:type="dxa"/>
        </w:tcPr>
        <w:p w:rsidR="000A744D" w:rsidRPr="007F19F6" w:rsidRDefault="00E95CB7" w:rsidP="003A539B">
          <w:pPr>
            <w:pStyle w:val="a4"/>
            <w:jc w:val="center"/>
            <w:rPr>
              <w:b/>
              <w:sz w:val="20"/>
            </w:rPr>
          </w:pPr>
          <w:r w:rsidRPr="007F19F6">
            <w:rPr>
              <w:b/>
              <w:sz w:val="20"/>
            </w:rPr>
            <w:t xml:space="preserve">стр. </w:t>
          </w:r>
          <w:r w:rsidRPr="007F19F6">
            <w:rPr>
              <w:b/>
              <w:sz w:val="20"/>
            </w:rPr>
            <w:fldChar w:fldCharType="begin"/>
          </w:r>
          <w:r w:rsidRPr="007F19F6">
            <w:rPr>
              <w:b/>
              <w:sz w:val="20"/>
            </w:rPr>
            <w:instrText xml:space="preserve"> PAGE </w:instrText>
          </w:r>
          <w:r w:rsidRPr="007F19F6">
            <w:rPr>
              <w:b/>
              <w:sz w:val="20"/>
            </w:rPr>
            <w:fldChar w:fldCharType="separate"/>
          </w:r>
          <w:r w:rsidR="006D4CA3">
            <w:rPr>
              <w:b/>
              <w:noProof/>
              <w:sz w:val="20"/>
            </w:rPr>
            <w:t>2</w:t>
          </w:r>
          <w:r w:rsidRPr="007F19F6">
            <w:rPr>
              <w:b/>
              <w:sz w:val="20"/>
            </w:rPr>
            <w:fldChar w:fldCharType="end"/>
          </w:r>
          <w:r w:rsidRPr="007F19F6">
            <w:rPr>
              <w:b/>
              <w:sz w:val="20"/>
            </w:rPr>
            <w:t xml:space="preserve"> из </w:t>
          </w:r>
          <w:r w:rsidRPr="007F19F6">
            <w:rPr>
              <w:b/>
              <w:sz w:val="20"/>
            </w:rPr>
            <w:fldChar w:fldCharType="begin"/>
          </w:r>
          <w:r w:rsidRPr="007F19F6">
            <w:rPr>
              <w:b/>
              <w:sz w:val="20"/>
            </w:rPr>
            <w:instrText xml:space="preserve"> NUMPAGES </w:instrText>
          </w:r>
          <w:r w:rsidRPr="007F19F6">
            <w:rPr>
              <w:b/>
              <w:sz w:val="20"/>
            </w:rPr>
            <w:fldChar w:fldCharType="separate"/>
          </w:r>
          <w:r w:rsidR="006D4CA3">
            <w:rPr>
              <w:b/>
              <w:noProof/>
              <w:sz w:val="20"/>
            </w:rPr>
            <w:t>2</w:t>
          </w:r>
          <w:r w:rsidRPr="007F19F6">
            <w:rPr>
              <w:b/>
              <w:sz w:val="20"/>
            </w:rPr>
            <w:fldChar w:fldCharType="end"/>
          </w:r>
        </w:p>
      </w:tc>
    </w:tr>
    <w:tr w:rsidR="000A744D" w:rsidRPr="004658B4" w:rsidTr="00A96438">
      <w:tc>
        <w:tcPr>
          <w:tcW w:w="3164" w:type="dxa"/>
          <w:vMerge/>
        </w:tcPr>
        <w:p w:rsidR="000A744D" w:rsidRPr="004658B4" w:rsidRDefault="008849ED" w:rsidP="003A539B">
          <w:pPr>
            <w:pStyle w:val="a4"/>
          </w:pPr>
        </w:p>
      </w:tc>
      <w:tc>
        <w:tcPr>
          <w:tcW w:w="6689" w:type="dxa"/>
          <w:gridSpan w:val="2"/>
        </w:tcPr>
        <w:p w:rsidR="000A744D" w:rsidRPr="0032678C" w:rsidRDefault="00E95CB7" w:rsidP="003A539B">
          <w:pPr>
            <w:pStyle w:val="a4"/>
            <w:jc w:val="both"/>
            <w:rPr>
              <w:sz w:val="22"/>
              <w:szCs w:val="22"/>
            </w:rPr>
          </w:pPr>
          <w:r>
            <w:rPr>
              <w:bCs/>
              <w:sz w:val="22"/>
              <w:szCs w:val="22"/>
            </w:rPr>
            <w:t>Правила организации внутреннего нормативного регулирования</w:t>
          </w:r>
        </w:p>
      </w:tc>
    </w:tr>
  </w:tbl>
  <w:p w:rsidR="000A744D" w:rsidRDefault="008849ED" w:rsidP="003267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FEB" w:rsidRDefault="00260FEB">
    <w:pPr>
      <w:pStyle w:val="a4"/>
    </w:pPr>
  </w:p>
  <w:tbl>
    <w:tblPr>
      <w:tblStyle w:val="a6"/>
      <w:tblW w:w="0" w:type="auto"/>
      <w:tblLook w:val="01E0" w:firstRow="1" w:lastRow="1" w:firstColumn="1" w:lastColumn="1" w:noHBand="0" w:noVBand="0"/>
    </w:tblPr>
    <w:tblGrid>
      <w:gridCol w:w="3163"/>
      <w:gridCol w:w="2155"/>
      <w:gridCol w:w="4309"/>
    </w:tblGrid>
    <w:tr w:rsidR="00260FEB" w:rsidRPr="004658B4" w:rsidTr="006A7104">
      <w:tc>
        <w:tcPr>
          <w:tcW w:w="3164" w:type="dxa"/>
          <w:vMerge w:val="restart"/>
        </w:tcPr>
        <w:p w:rsidR="00260FEB" w:rsidRPr="004658B4" w:rsidRDefault="00260FEB" w:rsidP="006A7104">
          <w:pPr>
            <w:pStyle w:val="a4"/>
          </w:pPr>
          <w:r>
            <w:rPr>
              <w:rFonts w:ascii="Arial" w:hAnsi="Arial" w:cs="Arial"/>
              <w:noProof/>
              <w:sz w:val="28"/>
              <w:szCs w:val="28"/>
            </w:rPr>
            <w:drawing>
              <wp:inline distT="0" distB="0" distL="0" distR="0" wp14:anchorId="552D989B" wp14:editId="514454C3">
                <wp:extent cx="1819275" cy="571500"/>
                <wp:effectExtent l="19050" t="0" r="9525" b="0"/>
                <wp:docPr id="2" name="Рисунок 2" descr="LogoEurasianBankRus_ve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EurasianBankRus_ve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3" w:type="dxa"/>
        </w:tcPr>
        <w:p w:rsidR="00260FEB" w:rsidRPr="00B37CBB" w:rsidRDefault="00B37CBB" w:rsidP="00B37CBB">
          <w:pPr>
            <w:pStyle w:val="a4"/>
            <w:jc w:val="center"/>
            <w:rPr>
              <w:b/>
              <w:sz w:val="20"/>
              <w:lang w:val="en-US"/>
            </w:rPr>
          </w:pPr>
          <w:r>
            <w:rPr>
              <w:b/>
              <w:sz w:val="20"/>
              <w:lang w:val="en-US"/>
            </w:rPr>
            <w:t>THE RULES</w:t>
          </w:r>
        </w:p>
      </w:tc>
      <w:tc>
        <w:tcPr>
          <w:tcW w:w="4476" w:type="dxa"/>
        </w:tcPr>
        <w:p w:rsidR="00260FEB" w:rsidRPr="007F19F6" w:rsidRDefault="00B37CBB" w:rsidP="00B37CBB">
          <w:pPr>
            <w:pStyle w:val="a4"/>
            <w:jc w:val="center"/>
            <w:rPr>
              <w:b/>
              <w:sz w:val="20"/>
            </w:rPr>
          </w:pPr>
          <w:r>
            <w:rPr>
              <w:b/>
              <w:sz w:val="20"/>
              <w:lang w:val="en-US"/>
            </w:rPr>
            <w:t>Page</w:t>
          </w:r>
          <w:r w:rsidR="00260FEB" w:rsidRPr="007F19F6">
            <w:rPr>
              <w:b/>
              <w:sz w:val="20"/>
            </w:rPr>
            <w:t xml:space="preserve"> </w:t>
          </w:r>
          <w:r w:rsidR="00260FEB" w:rsidRPr="007F19F6">
            <w:rPr>
              <w:b/>
              <w:sz w:val="20"/>
            </w:rPr>
            <w:fldChar w:fldCharType="begin"/>
          </w:r>
          <w:r w:rsidR="00260FEB" w:rsidRPr="007F19F6">
            <w:rPr>
              <w:b/>
              <w:sz w:val="20"/>
            </w:rPr>
            <w:instrText xml:space="preserve"> PAGE </w:instrText>
          </w:r>
          <w:r w:rsidR="00260FEB" w:rsidRPr="007F19F6">
            <w:rPr>
              <w:b/>
              <w:sz w:val="20"/>
            </w:rPr>
            <w:fldChar w:fldCharType="separate"/>
          </w:r>
          <w:r w:rsidR="008849ED">
            <w:rPr>
              <w:b/>
              <w:noProof/>
              <w:sz w:val="20"/>
            </w:rPr>
            <w:t>1</w:t>
          </w:r>
          <w:r w:rsidR="00260FEB" w:rsidRPr="007F19F6">
            <w:rPr>
              <w:b/>
              <w:sz w:val="20"/>
            </w:rPr>
            <w:fldChar w:fldCharType="end"/>
          </w:r>
          <w:r w:rsidR="00260FEB" w:rsidRPr="007F19F6">
            <w:rPr>
              <w:b/>
              <w:sz w:val="20"/>
            </w:rPr>
            <w:t xml:space="preserve"> </w:t>
          </w:r>
          <w:r>
            <w:rPr>
              <w:b/>
              <w:sz w:val="20"/>
              <w:lang w:val="en-US"/>
            </w:rPr>
            <w:t>of</w:t>
          </w:r>
          <w:r w:rsidR="00260FEB" w:rsidRPr="007F19F6">
            <w:rPr>
              <w:b/>
              <w:sz w:val="20"/>
            </w:rPr>
            <w:t xml:space="preserve"> </w:t>
          </w:r>
          <w:r w:rsidR="00260FEB" w:rsidRPr="007F19F6">
            <w:rPr>
              <w:b/>
              <w:sz w:val="20"/>
            </w:rPr>
            <w:fldChar w:fldCharType="begin"/>
          </w:r>
          <w:r w:rsidR="00260FEB" w:rsidRPr="007F19F6">
            <w:rPr>
              <w:b/>
              <w:sz w:val="20"/>
            </w:rPr>
            <w:instrText xml:space="preserve"> NUMPAGES </w:instrText>
          </w:r>
          <w:r w:rsidR="00260FEB" w:rsidRPr="007F19F6">
            <w:rPr>
              <w:b/>
              <w:sz w:val="20"/>
            </w:rPr>
            <w:fldChar w:fldCharType="separate"/>
          </w:r>
          <w:r w:rsidR="008849ED">
            <w:rPr>
              <w:b/>
              <w:noProof/>
              <w:sz w:val="20"/>
            </w:rPr>
            <w:t>1</w:t>
          </w:r>
          <w:r w:rsidR="00260FEB" w:rsidRPr="007F19F6">
            <w:rPr>
              <w:b/>
              <w:sz w:val="20"/>
            </w:rPr>
            <w:fldChar w:fldCharType="end"/>
          </w:r>
        </w:p>
      </w:tc>
    </w:tr>
    <w:tr w:rsidR="00260FEB" w:rsidRPr="008849ED" w:rsidTr="006A7104">
      <w:tc>
        <w:tcPr>
          <w:tcW w:w="3164" w:type="dxa"/>
          <w:vMerge/>
        </w:tcPr>
        <w:p w:rsidR="00260FEB" w:rsidRPr="004658B4" w:rsidRDefault="00260FEB" w:rsidP="006A7104">
          <w:pPr>
            <w:pStyle w:val="a4"/>
          </w:pPr>
        </w:p>
      </w:tc>
      <w:tc>
        <w:tcPr>
          <w:tcW w:w="6689" w:type="dxa"/>
          <w:gridSpan w:val="2"/>
        </w:tcPr>
        <w:p w:rsidR="00260FEB" w:rsidRPr="008849ED" w:rsidRDefault="00B37CBB" w:rsidP="00B37CBB">
          <w:pPr>
            <w:pStyle w:val="a4"/>
            <w:jc w:val="both"/>
            <w:rPr>
              <w:sz w:val="22"/>
              <w:szCs w:val="22"/>
              <w:lang w:val="en-US"/>
            </w:rPr>
          </w:pPr>
          <w:r>
            <w:rPr>
              <w:b/>
              <w:sz w:val="20"/>
              <w:lang w:val="en-US"/>
            </w:rPr>
            <w:t>The Rules on the General Rules of Conducting Transactions</w:t>
          </w:r>
        </w:p>
      </w:tc>
    </w:tr>
  </w:tbl>
  <w:p w:rsidR="00260FEB" w:rsidRPr="008849ED" w:rsidRDefault="00260FEB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2918"/>
    <w:multiLevelType w:val="hybridMultilevel"/>
    <w:tmpl w:val="C07E3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2CD"/>
    <w:rsid w:val="0003424E"/>
    <w:rsid w:val="000C1D26"/>
    <w:rsid w:val="00132F2F"/>
    <w:rsid w:val="00260FEB"/>
    <w:rsid w:val="002A5CD7"/>
    <w:rsid w:val="002C6526"/>
    <w:rsid w:val="002F3DB7"/>
    <w:rsid w:val="003D5F88"/>
    <w:rsid w:val="004226CB"/>
    <w:rsid w:val="00527E71"/>
    <w:rsid w:val="005475F1"/>
    <w:rsid w:val="006D4CA3"/>
    <w:rsid w:val="00831EF4"/>
    <w:rsid w:val="008849ED"/>
    <w:rsid w:val="009178D2"/>
    <w:rsid w:val="00963363"/>
    <w:rsid w:val="00A23BDC"/>
    <w:rsid w:val="00A91C33"/>
    <w:rsid w:val="00AB4A4A"/>
    <w:rsid w:val="00AE059F"/>
    <w:rsid w:val="00B37CBB"/>
    <w:rsid w:val="00D874F3"/>
    <w:rsid w:val="00E95CB7"/>
    <w:rsid w:val="00F03575"/>
    <w:rsid w:val="00FA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9DDBA-BEE2-45C5-B413-39208810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FEB"/>
    <w:pPr>
      <w:ind w:left="720"/>
    </w:pPr>
  </w:style>
  <w:style w:type="paragraph" w:styleId="a4">
    <w:name w:val="header"/>
    <w:basedOn w:val="a"/>
    <w:link w:val="a5"/>
    <w:rsid w:val="00260F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60FE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260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260F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0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60F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0F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Orazgeldiyeva Oksana Aleksandrovna</dc:creator>
  <cp:lastModifiedBy>Мусаева Айгуль Сайламбековна</cp:lastModifiedBy>
  <cp:revision>2</cp:revision>
  <cp:lastPrinted>2014-07-22T03:27:00Z</cp:lastPrinted>
  <dcterms:created xsi:type="dcterms:W3CDTF">2020-07-13T11:18:00Z</dcterms:created>
  <dcterms:modified xsi:type="dcterms:W3CDTF">2020-07-13T11:18:00Z</dcterms:modified>
</cp:coreProperties>
</file>