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EB" w:rsidRPr="00715CB0" w:rsidRDefault="003D5F88" w:rsidP="00260FEB">
      <w:pPr>
        <w:pageBreakBefore/>
        <w:widowControl w:val="0"/>
        <w:shd w:val="clear" w:color="auto" w:fill="FFFFFF"/>
        <w:ind w:left="5664"/>
        <w:jc w:val="right"/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>Приложение №</w:t>
      </w:r>
      <w:r w:rsidR="004226CB">
        <w:rPr>
          <w:bCs/>
          <w:spacing w:val="-1"/>
          <w:sz w:val="22"/>
          <w:szCs w:val="22"/>
        </w:rPr>
        <w:t>3</w:t>
      </w:r>
      <w:bookmarkStart w:id="0" w:name="_GoBack"/>
      <w:bookmarkEnd w:id="0"/>
    </w:p>
    <w:p w:rsidR="00260FEB" w:rsidRPr="00715CB0" w:rsidRDefault="00260FEB" w:rsidP="00260FEB">
      <w:pPr>
        <w:pStyle w:val="a3"/>
        <w:ind w:left="502"/>
        <w:jc w:val="both"/>
        <w:rPr>
          <w:b/>
          <w:sz w:val="20"/>
          <w:szCs w:val="20"/>
        </w:rPr>
      </w:pPr>
    </w:p>
    <w:p w:rsidR="00260FEB" w:rsidRPr="00715CB0" w:rsidRDefault="00260FEB" w:rsidP="00260FEB">
      <w:pPr>
        <w:jc w:val="center"/>
        <w:rPr>
          <w:b/>
          <w:bCs/>
          <w:sz w:val="22"/>
          <w:szCs w:val="22"/>
        </w:rPr>
      </w:pPr>
    </w:p>
    <w:p w:rsidR="00260FEB" w:rsidRPr="00715CB0" w:rsidRDefault="00260FEB" w:rsidP="00260FEB">
      <w:pPr>
        <w:jc w:val="center"/>
        <w:rPr>
          <w:b/>
          <w:bCs/>
          <w:sz w:val="22"/>
          <w:szCs w:val="22"/>
        </w:rPr>
      </w:pPr>
      <w:r w:rsidRPr="00715CB0">
        <w:rPr>
          <w:b/>
          <w:bCs/>
          <w:sz w:val="22"/>
          <w:szCs w:val="22"/>
        </w:rPr>
        <w:t>План мероприятий по реализации Правил</w:t>
      </w:r>
    </w:p>
    <w:p w:rsidR="00260FEB" w:rsidRPr="00715CB0" w:rsidRDefault="00260FEB" w:rsidP="00260FEB">
      <w:pPr>
        <w:jc w:val="center"/>
        <w:rPr>
          <w:bCs/>
          <w:sz w:val="22"/>
          <w:szCs w:val="22"/>
        </w:rPr>
      </w:pPr>
    </w:p>
    <w:tbl>
      <w:tblPr>
        <w:tblW w:w="503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552"/>
        <w:gridCol w:w="1722"/>
        <w:gridCol w:w="2454"/>
        <w:gridCol w:w="1530"/>
        <w:gridCol w:w="1098"/>
      </w:tblGrid>
      <w:tr w:rsidR="00260FEB" w:rsidRPr="00715CB0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№ п/ п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  <w:p w:rsidR="00260FEB" w:rsidRPr="00715CB0" w:rsidRDefault="00260FEB" w:rsidP="006A71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Форма</w:t>
            </w:r>
          </w:p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завершения</w:t>
            </w:r>
          </w:p>
          <w:p w:rsidR="00260FEB" w:rsidRPr="00715CB0" w:rsidRDefault="00260FEB" w:rsidP="006A7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за исполнение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Срок</w:t>
            </w:r>
          </w:p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исполнения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260FEB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AB4A4A" w:rsidRPr="00527E71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AB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527E71">
            <w:pPr>
              <w:jc w:val="both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Приведение в соответствие с требованиями Правил соответствующих ВНД Банка</w:t>
            </w:r>
            <w:r w:rsidR="00831EF4" w:rsidRPr="00527E71">
              <w:rPr>
                <w:color w:val="000000"/>
                <w:sz w:val="20"/>
                <w:szCs w:val="20"/>
              </w:rPr>
              <w:t xml:space="preserve"> по операциям Банка и предоставлению банковских продуктов, исчислению ставок вознаграждений и тарифов, а также типовых договоров по предоставлению банковских продуктов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ВНД в новой редакции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Подразделение координации и методологии/самостоятельные структурные подразделения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В течение года со дня утверждения Правил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60FEB" w:rsidRPr="00527E71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EF4" w:rsidRPr="00527E71" w:rsidRDefault="00831EF4" w:rsidP="00527E7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7E71">
              <w:rPr>
                <w:color w:val="000000" w:themeColor="text1"/>
                <w:sz w:val="20"/>
                <w:szCs w:val="20"/>
              </w:rPr>
              <w:t xml:space="preserve">Поддержание в актуальном режиме на интернет-ресурсе Банка размещенной информация о ставках и тарифах </w:t>
            </w:r>
            <w:r w:rsidR="00527E71" w:rsidRPr="00527E71">
              <w:rPr>
                <w:color w:val="000000" w:themeColor="text1"/>
                <w:sz w:val="20"/>
                <w:szCs w:val="20"/>
              </w:rPr>
              <w:t>на</w:t>
            </w:r>
            <w:r w:rsidRPr="00527E71">
              <w:rPr>
                <w:color w:val="000000" w:themeColor="text1"/>
                <w:sz w:val="20"/>
                <w:szCs w:val="20"/>
              </w:rPr>
              <w:t xml:space="preserve"> банковские и иные услуги, оказываемые </w:t>
            </w:r>
            <w:r w:rsidR="00527E71" w:rsidRPr="00527E71">
              <w:rPr>
                <w:color w:val="000000" w:themeColor="text1"/>
                <w:sz w:val="20"/>
                <w:szCs w:val="20"/>
              </w:rPr>
              <w:t>клиентам</w:t>
            </w:r>
            <w:r w:rsidRPr="00527E71">
              <w:rPr>
                <w:color w:val="000000" w:themeColor="text1"/>
                <w:sz w:val="20"/>
                <w:szCs w:val="20"/>
              </w:rPr>
              <w:t>,  с указанием сведений о дате внесения изменений в действующие ставки и тарифы, номера внутреннего документа и органа, принявшего данные изменения.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6A710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7E71">
              <w:rPr>
                <w:color w:val="000000" w:themeColor="text1"/>
                <w:sz w:val="20"/>
                <w:szCs w:val="20"/>
              </w:rPr>
              <w:t>Тарифы Банка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6A71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Самостоятельные структурные подразделения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AB4A4A">
            <w:pPr>
              <w:rPr>
                <w:color w:val="000000" w:themeColor="text1"/>
                <w:sz w:val="20"/>
                <w:szCs w:val="20"/>
              </w:rPr>
            </w:pPr>
            <w:r w:rsidRPr="00527E71">
              <w:rPr>
                <w:color w:val="000000" w:themeColor="text1"/>
                <w:sz w:val="20"/>
                <w:szCs w:val="20"/>
              </w:rPr>
              <w:t>По мере актуализации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60FEB" w:rsidRPr="00527E71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3</w:t>
            </w:r>
            <w:r w:rsidRPr="00527E7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D5F88" w:rsidP="006A7104">
            <w:pPr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Соблюдение требования Правил по представлению информации и консультаций клиента по банковским операциям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AB4A4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D5F88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Фронт-офис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260FEB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D5F88" w:rsidRPr="00527E71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AB4A4A">
            <w:pPr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Соблюдение требований</w:t>
            </w:r>
            <w:r w:rsidR="00AB4A4A" w:rsidRPr="00527E71">
              <w:rPr>
                <w:color w:val="000000"/>
                <w:sz w:val="20"/>
                <w:szCs w:val="20"/>
              </w:rPr>
              <w:t xml:space="preserve"> при вступлении в сделку с лицами</w:t>
            </w:r>
            <w:r w:rsidRPr="00527E71">
              <w:rPr>
                <w:color w:val="000000"/>
                <w:sz w:val="20"/>
                <w:szCs w:val="20"/>
              </w:rPr>
              <w:t>, связанным</w:t>
            </w:r>
            <w:r w:rsidR="00AB4A4A" w:rsidRPr="00527E71">
              <w:rPr>
                <w:color w:val="000000"/>
                <w:sz w:val="20"/>
                <w:szCs w:val="20"/>
              </w:rPr>
              <w:t>и</w:t>
            </w:r>
            <w:r w:rsidRPr="00527E71">
              <w:rPr>
                <w:color w:val="000000"/>
                <w:sz w:val="20"/>
                <w:szCs w:val="20"/>
              </w:rPr>
              <w:t xml:space="preserve"> с Банком особыми отношениями</w:t>
            </w:r>
            <w:r w:rsidR="00AB4A4A" w:rsidRPr="00527E71">
              <w:rPr>
                <w:color w:val="000000" w:themeColor="text1"/>
                <w:sz w:val="20"/>
                <w:szCs w:val="20"/>
              </w:rPr>
              <w:t>, а также конфиденциальности при проведении банковских операций, в том числе по сбору и обработке персональных данных клиентов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AB4A4A" w:rsidP="00AB4A4A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Все работники Банка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D5F88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4A4A" w:rsidRPr="00527E71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2A5CD7" w:rsidP="00AB4A4A">
            <w:pPr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Мониторинг П</w:t>
            </w:r>
            <w:r w:rsidR="00AB4A4A" w:rsidRPr="00527E71">
              <w:rPr>
                <w:color w:val="000000"/>
                <w:sz w:val="20"/>
                <w:szCs w:val="20"/>
              </w:rPr>
              <w:t>равил на предмет актуальности требованиям законодательства Республики Казахстан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2A5CD7" w:rsidP="006A7104">
            <w:pPr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ВНД в новой редакции/изменения и/или дополнения во ВНД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2A5CD7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Заинтересованные структурные подразделения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2A5CD7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Ежеквартально/раз в пол года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AB4A4A" w:rsidP="006A7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178D2" w:rsidRPr="00527E71" w:rsidRDefault="009178D2" w:rsidP="00260FEB">
      <w:pPr>
        <w:rPr>
          <w:sz w:val="20"/>
          <w:szCs w:val="20"/>
        </w:rPr>
      </w:pPr>
    </w:p>
    <w:sectPr w:rsidR="009178D2" w:rsidRPr="00527E71" w:rsidSect="0032678C"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B7" w:rsidRDefault="002F3DB7" w:rsidP="00260FEB">
      <w:r>
        <w:separator/>
      </w:r>
    </w:p>
  </w:endnote>
  <w:endnote w:type="continuationSeparator" w:id="0">
    <w:p w:rsidR="002F3DB7" w:rsidRDefault="002F3DB7" w:rsidP="002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B7" w:rsidRDefault="002F3DB7" w:rsidP="00260FEB">
      <w:r>
        <w:separator/>
      </w:r>
    </w:p>
  </w:footnote>
  <w:footnote w:type="continuationSeparator" w:id="0">
    <w:p w:rsidR="002F3DB7" w:rsidRDefault="002F3DB7" w:rsidP="0026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4D" w:rsidRDefault="002F3DB7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164"/>
      <w:gridCol w:w="2213"/>
      <w:gridCol w:w="4476"/>
    </w:tblGrid>
    <w:tr w:rsidR="000A744D" w:rsidRPr="004658B4" w:rsidTr="008242F8">
      <w:tc>
        <w:tcPr>
          <w:tcW w:w="3164" w:type="dxa"/>
          <w:vMerge w:val="restart"/>
        </w:tcPr>
        <w:p w:rsidR="000A744D" w:rsidRPr="004658B4" w:rsidRDefault="00E95CB7" w:rsidP="003A539B">
          <w:pPr>
            <w:pStyle w:val="a4"/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3FA6E376" wp14:editId="0070F392">
                <wp:extent cx="1819275" cy="571500"/>
                <wp:effectExtent l="19050" t="0" r="9525" b="0"/>
                <wp:docPr id="1" name="Рисунок 1" descr="LogoEurasianBankRus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urasianBankRus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0A744D" w:rsidRPr="007F19F6" w:rsidRDefault="00E95CB7" w:rsidP="003A539B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>П</w:t>
          </w:r>
          <w:r>
            <w:rPr>
              <w:b/>
              <w:sz w:val="20"/>
            </w:rPr>
            <w:t>Р</w:t>
          </w:r>
        </w:p>
      </w:tc>
      <w:tc>
        <w:tcPr>
          <w:tcW w:w="4476" w:type="dxa"/>
        </w:tcPr>
        <w:p w:rsidR="000A744D" w:rsidRPr="007F19F6" w:rsidRDefault="00E95CB7" w:rsidP="003A539B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 xml:space="preserve">стр.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PAGE </w:instrText>
          </w:r>
          <w:r w:rsidRPr="007F19F6">
            <w:rPr>
              <w:b/>
              <w:sz w:val="20"/>
            </w:rPr>
            <w:fldChar w:fldCharType="separate"/>
          </w:r>
          <w:r w:rsidR="00527E71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  <w:r w:rsidRPr="007F19F6">
            <w:rPr>
              <w:b/>
              <w:sz w:val="20"/>
            </w:rPr>
            <w:t xml:space="preserve"> из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NUMPAGES </w:instrText>
          </w:r>
          <w:r w:rsidRPr="007F19F6">
            <w:rPr>
              <w:b/>
              <w:sz w:val="20"/>
            </w:rPr>
            <w:fldChar w:fldCharType="separate"/>
          </w:r>
          <w:r w:rsidR="00527E71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</w:p>
      </w:tc>
    </w:tr>
    <w:tr w:rsidR="000A744D" w:rsidRPr="004658B4" w:rsidTr="00A96438">
      <w:tc>
        <w:tcPr>
          <w:tcW w:w="3164" w:type="dxa"/>
          <w:vMerge/>
        </w:tcPr>
        <w:p w:rsidR="000A744D" w:rsidRPr="004658B4" w:rsidRDefault="002F3DB7" w:rsidP="003A539B">
          <w:pPr>
            <w:pStyle w:val="a4"/>
          </w:pPr>
        </w:p>
      </w:tc>
      <w:tc>
        <w:tcPr>
          <w:tcW w:w="6689" w:type="dxa"/>
          <w:gridSpan w:val="2"/>
        </w:tcPr>
        <w:p w:rsidR="000A744D" w:rsidRPr="0032678C" w:rsidRDefault="00E95CB7" w:rsidP="003A539B">
          <w:pPr>
            <w:pStyle w:val="a4"/>
            <w:jc w:val="both"/>
            <w:rPr>
              <w:sz w:val="22"/>
              <w:szCs w:val="22"/>
            </w:rPr>
          </w:pPr>
          <w:r>
            <w:rPr>
              <w:bCs/>
              <w:sz w:val="22"/>
              <w:szCs w:val="22"/>
            </w:rPr>
            <w:t>Правила организации внутреннего нормативного регулирования</w:t>
          </w:r>
        </w:p>
      </w:tc>
    </w:tr>
  </w:tbl>
  <w:p w:rsidR="000A744D" w:rsidRDefault="002F3DB7" w:rsidP="003267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EB" w:rsidRDefault="00260FEB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164"/>
      <w:gridCol w:w="2213"/>
      <w:gridCol w:w="4476"/>
    </w:tblGrid>
    <w:tr w:rsidR="00260FEB" w:rsidRPr="004658B4" w:rsidTr="006A7104">
      <w:tc>
        <w:tcPr>
          <w:tcW w:w="3164" w:type="dxa"/>
          <w:vMerge w:val="restart"/>
        </w:tcPr>
        <w:p w:rsidR="00260FEB" w:rsidRPr="004658B4" w:rsidRDefault="00260FEB" w:rsidP="006A7104">
          <w:pPr>
            <w:pStyle w:val="a4"/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552D989B" wp14:editId="514454C3">
                <wp:extent cx="1819275" cy="571500"/>
                <wp:effectExtent l="19050" t="0" r="9525" b="0"/>
                <wp:docPr id="2" name="Рисунок 2" descr="LogoEurasianBankRus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urasianBankRus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260FEB" w:rsidRPr="007F19F6" w:rsidRDefault="00260FEB" w:rsidP="006A7104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>П</w:t>
          </w:r>
          <w:r>
            <w:rPr>
              <w:b/>
              <w:sz w:val="20"/>
            </w:rPr>
            <w:t>Р</w:t>
          </w:r>
        </w:p>
      </w:tc>
      <w:tc>
        <w:tcPr>
          <w:tcW w:w="4476" w:type="dxa"/>
        </w:tcPr>
        <w:p w:rsidR="00260FEB" w:rsidRPr="007F19F6" w:rsidRDefault="00260FEB" w:rsidP="006A7104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 xml:space="preserve">стр.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PAGE </w:instrText>
          </w:r>
          <w:r w:rsidRPr="007F19F6">
            <w:rPr>
              <w:b/>
              <w:sz w:val="20"/>
            </w:rPr>
            <w:fldChar w:fldCharType="separate"/>
          </w:r>
          <w:r w:rsidR="004226CB">
            <w:rPr>
              <w:b/>
              <w:noProof/>
              <w:sz w:val="20"/>
            </w:rPr>
            <w:t>1</w:t>
          </w:r>
          <w:r w:rsidRPr="007F19F6">
            <w:rPr>
              <w:b/>
              <w:sz w:val="20"/>
            </w:rPr>
            <w:fldChar w:fldCharType="end"/>
          </w:r>
          <w:r w:rsidRPr="007F19F6">
            <w:rPr>
              <w:b/>
              <w:sz w:val="20"/>
            </w:rPr>
            <w:t xml:space="preserve"> из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NUMPAGES </w:instrText>
          </w:r>
          <w:r w:rsidRPr="007F19F6">
            <w:rPr>
              <w:b/>
              <w:sz w:val="20"/>
            </w:rPr>
            <w:fldChar w:fldCharType="separate"/>
          </w:r>
          <w:r w:rsidR="004226CB">
            <w:rPr>
              <w:b/>
              <w:noProof/>
              <w:sz w:val="20"/>
            </w:rPr>
            <w:t>1</w:t>
          </w:r>
          <w:r w:rsidRPr="007F19F6">
            <w:rPr>
              <w:b/>
              <w:sz w:val="20"/>
            </w:rPr>
            <w:fldChar w:fldCharType="end"/>
          </w:r>
        </w:p>
      </w:tc>
    </w:tr>
    <w:tr w:rsidR="00260FEB" w:rsidRPr="004658B4" w:rsidTr="006A7104">
      <w:tc>
        <w:tcPr>
          <w:tcW w:w="3164" w:type="dxa"/>
          <w:vMerge/>
        </w:tcPr>
        <w:p w:rsidR="00260FEB" w:rsidRPr="004658B4" w:rsidRDefault="00260FEB" w:rsidP="006A7104">
          <w:pPr>
            <w:pStyle w:val="a4"/>
          </w:pPr>
        </w:p>
      </w:tc>
      <w:tc>
        <w:tcPr>
          <w:tcW w:w="6689" w:type="dxa"/>
          <w:gridSpan w:val="2"/>
        </w:tcPr>
        <w:p w:rsidR="00260FEB" w:rsidRPr="0032678C" w:rsidRDefault="003D5F88" w:rsidP="006A7104">
          <w:pPr>
            <w:pStyle w:val="a4"/>
            <w:jc w:val="both"/>
            <w:rPr>
              <w:sz w:val="22"/>
              <w:szCs w:val="22"/>
            </w:rPr>
          </w:pPr>
          <w:r>
            <w:rPr>
              <w:b/>
              <w:sz w:val="20"/>
            </w:rPr>
            <w:t>П</w:t>
          </w:r>
          <w:r w:rsidRPr="00893AA6">
            <w:rPr>
              <w:b/>
              <w:sz w:val="20"/>
            </w:rPr>
            <w:t>равила об общ</w:t>
          </w:r>
          <w:r>
            <w:rPr>
              <w:b/>
              <w:sz w:val="20"/>
            </w:rPr>
            <w:t>их условиях проведения операций</w:t>
          </w:r>
        </w:p>
      </w:tc>
    </w:tr>
  </w:tbl>
  <w:p w:rsidR="00260FEB" w:rsidRDefault="00260F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918"/>
    <w:multiLevelType w:val="hybridMultilevel"/>
    <w:tmpl w:val="C07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CD"/>
    <w:rsid w:val="0003424E"/>
    <w:rsid w:val="00132F2F"/>
    <w:rsid w:val="00260FEB"/>
    <w:rsid w:val="002A5CD7"/>
    <w:rsid w:val="002C6526"/>
    <w:rsid w:val="002F3DB7"/>
    <w:rsid w:val="003D5F88"/>
    <w:rsid w:val="004226CB"/>
    <w:rsid w:val="00527E71"/>
    <w:rsid w:val="005475F1"/>
    <w:rsid w:val="00831EF4"/>
    <w:rsid w:val="009178D2"/>
    <w:rsid w:val="00963363"/>
    <w:rsid w:val="00A23BDC"/>
    <w:rsid w:val="00AB4A4A"/>
    <w:rsid w:val="00AE059F"/>
    <w:rsid w:val="00D874F3"/>
    <w:rsid w:val="00E95CB7"/>
    <w:rsid w:val="00F03575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46A3"/>
  <w15:docId w15:val="{EDB9DDBA-BEE2-45C5-B413-39208810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EB"/>
    <w:pPr>
      <w:ind w:left="720"/>
    </w:pPr>
  </w:style>
  <w:style w:type="paragraph" w:styleId="a4">
    <w:name w:val="header"/>
    <w:basedOn w:val="a"/>
    <w:link w:val="a5"/>
    <w:rsid w:val="00260F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6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60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0F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F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Orazgeldiyeva Oksana Aleksandrovna</dc:creator>
  <cp:lastModifiedBy>Чепис Марина Анатольевна</cp:lastModifiedBy>
  <cp:revision>3</cp:revision>
  <cp:lastPrinted>2014-07-22T03:27:00Z</cp:lastPrinted>
  <dcterms:created xsi:type="dcterms:W3CDTF">2014-07-23T05:15:00Z</dcterms:created>
  <dcterms:modified xsi:type="dcterms:W3CDTF">2017-06-28T10:51:00Z</dcterms:modified>
</cp:coreProperties>
</file>